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A5A1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jc w:val="center"/>
        <w:textAlignment w:val="auto"/>
        <w:rPr>
          <w:rFonts w:ascii="方正小标宋_GBK" w:hAnsi="方正小标宋_GBK" w:eastAsia="方正小标宋_GBK" w:cs="微软雅黑"/>
          <w:color w:val="000000" w:themeColor="text1"/>
          <w:spacing w:val="-12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微软雅黑"/>
          <w:color w:val="000000" w:themeColor="text1"/>
          <w:spacing w:val="-12"/>
          <w:sz w:val="44"/>
          <w:szCs w:val="44"/>
          <w14:textFill>
            <w14:solidFill>
              <w14:schemeClr w14:val="tx1"/>
            </w14:solidFill>
          </w14:textFill>
        </w:rPr>
        <w:t>《南昌市关于加快科技型企业梯次培育的</w:t>
      </w:r>
    </w:p>
    <w:p w14:paraId="236185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jc w:val="center"/>
        <w:textAlignment w:val="auto"/>
        <w:rPr>
          <w:rFonts w:ascii="方正小标宋_GBK" w:hAnsi="方正小标宋_GBK" w:eastAsia="方正小标宋_GBK" w:cs="微软雅黑"/>
          <w:color w:val="000000" w:themeColor="text1"/>
          <w:spacing w:val="-12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微软雅黑"/>
          <w:color w:val="000000" w:themeColor="text1"/>
          <w:spacing w:val="-12"/>
          <w:sz w:val="44"/>
          <w:szCs w:val="44"/>
          <w14:textFill>
            <w14:solidFill>
              <w14:schemeClr w14:val="tx1"/>
            </w14:solidFill>
          </w14:textFill>
        </w:rPr>
        <w:t>若干措施》的起草说明</w:t>
      </w:r>
    </w:p>
    <w:p w14:paraId="0F7F8A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both"/>
        <w:textAlignment w:val="auto"/>
        <w:rPr>
          <w:rFonts w:ascii="方正小标宋_GBK" w:hAnsi="方正小标宋_GBK" w:eastAsia="方正小标宋_GBK" w:cs="微软雅黑"/>
          <w:color w:val="000000" w:themeColor="text1"/>
          <w:spacing w:val="-12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F61E47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12" w:firstLineChars="200"/>
        <w:jc w:val="both"/>
        <w:textAlignment w:val="auto"/>
        <w:rPr>
          <w:rFonts w:ascii="方正小标宋_GBK" w:hAnsi="方正小标宋_GBK" w:eastAsia="仿宋_GB2312" w:cs="微软雅黑"/>
          <w:color w:val="000000" w:themeColor="text1"/>
          <w:spacing w:val="-12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为深入贯彻落实创新驱动发展战略，进一步强化企业科技创新主体地位，构建覆盖企业全生命周期的梯次培育体系，推动我市科技型企业提质扩容、高质量发展。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我科室代拟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了</w:t>
      </w:r>
      <w:r>
        <w:rPr>
          <w:rFonts w:hint="eastAsia" w:ascii="仿宋_GB2312" w:hAnsi="仿宋" w:eastAsia="仿宋_GB2312"/>
          <w:sz w:val="32"/>
          <w:szCs w:val="32"/>
        </w:rPr>
        <w:t>《南昌市关于加快科技型企业梯次培育的若干措施（审议稿）》（以下简称《若干措施》）。现将起草说明汇报如下：</w:t>
      </w:r>
    </w:p>
    <w:p w14:paraId="508B875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12" w:firstLineChars="200"/>
        <w:jc w:val="both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一、起草背景</w:t>
      </w:r>
    </w:p>
    <w:p w14:paraId="69B043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12" w:firstLineChars="200"/>
        <w:jc w:val="both"/>
        <w:textAlignment w:val="auto"/>
        <w:rPr>
          <w:rFonts w:ascii="仿宋_GB2312" w:hAnsi="CESI仿宋-GB2312" w:eastAsia="仿宋_GB2312" w:cs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ESI仿宋-GB2312" w:eastAsia="仿宋_GB2312" w:cs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当前，创新驱动发展战略深入实施，科技企业是区域科技创新和产业高质量发展的核心载体。为有效破解我市科技企业培育层级不优、创新动能不足、要素供给不均、产业生态不完善等痛点难点，落实重点改革任务，我市立足“8810”产业行动计划，聚焦新一代信息技术、高端装备制造、新材料、生物医药等重点赛道，通过机制改革、政策赋能、服务升级，打通科技企业从初创培育、成长壮大到领军引领的全链条发展通道，加快构建层级清晰、梯度递进、覆盖全面的科技企业培育新格局，为全市现代化产业体系建设和高质量跨越式发展提供坚实科创支撑。</w:t>
      </w:r>
    </w:p>
    <w:p w14:paraId="1E55F76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12" w:firstLineChars="200"/>
        <w:jc w:val="both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二、起草依据</w:t>
      </w:r>
      <w:bookmarkStart w:id="0" w:name="_GoBack"/>
      <w:bookmarkEnd w:id="0"/>
    </w:p>
    <w:p w14:paraId="7A0F0E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12" w:firstLineChars="200"/>
        <w:jc w:val="both"/>
        <w:textAlignment w:val="auto"/>
        <w:rPr>
          <w:rFonts w:ascii="仿宋_GB2312" w:hAnsi="CESI仿宋-GB2312" w:eastAsia="仿宋_GB2312" w:cs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ESI仿宋-GB2312" w:eastAsia="仿宋_GB2312" w:cs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《若干措施》编制严格对标国家、省、市重大改革部署，主要依据包括：《中共中央关于进一步全面深化改革、推进中国式现代化的决定》（中发〔2024〕11号）、《中共江西省委关于贯彻落实党的二十届三中全会精神，进一步全面深化改革、奋力谱写中国式现代化江西篇章的决定》（赣发〔2024〕18号）、《中共南昌市委关于贯彻落实党的二十届三中全会精神，进一步全面深化改革、推进中国式现代化南昌实践的实施意见》（洪发〔2025〕2号）等文件精神，严格遵循省市科技体制改革、高新技术企业培育、科技创新赋能产业发展相关工作要求，结合我市科技企业发展现状、产业布局及改革工作实际编制形成。</w:t>
      </w:r>
    </w:p>
    <w:p w14:paraId="2023C2F3">
      <w:pPr>
        <w:pStyle w:val="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12" w:firstLineChars="200"/>
        <w:jc w:val="both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起草过程</w:t>
      </w:r>
    </w:p>
    <w:p w14:paraId="5731F8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12" w:firstLineChars="200"/>
        <w:jc w:val="both"/>
        <w:textAlignment w:val="auto"/>
        <w:rPr>
          <w:rFonts w:ascii="仿宋_GB2312" w:hAnsi="CESI仿宋-GB2312" w:eastAsia="仿宋_GB2312" w:cs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ESI仿宋-GB2312" w:eastAsia="仿宋_GB2312" w:cs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按照《关于推进南昌市关于加快科技企业培育机制改革创新的工作方案》时序安排，我</w:t>
      </w:r>
      <w:r>
        <w:rPr>
          <w:rFonts w:hint="eastAsia" w:ascii="仿宋_GB2312" w:hAnsi="CESI仿宋-GB2312" w:eastAsia="仿宋_GB2312" w:cs="CESI仿宋-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科室</w:t>
      </w:r>
      <w:r>
        <w:rPr>
          <w:rFonts w:hint="eastAsia" w:ascii="仿宋_GB2312" w:hAnsi="CESI仿宋-GB2312" w:eastAsia="仿宋_GB2312" w:cs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严格分步推进政策编制全流程工作，确保政策科学精准、贴合实际、落地可行，编制工作主要分为五个阶段。</w:t>
      </w:r>
    </w:p>
    <w:p w14:paraId="2E1B11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12" w:firstLineChars="200"/>
        <w:jc w:val="both"/>
        <w:textAlignment w:val="auto"/>
        <w:rPr>
          <w:rFonts w:ascii="仿宋_GB2312" w:hAnsi="CESI仿宋-GB2312" w:eastAsia="仿宋_GB2312" w:cs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ESI仿宋-GB2312" w:eastAsia="仿宋_GB2312" w:cs="CESI仿宋-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第一阶段：开展实地调研，完成初稿起草阶段（4月—5月）。</w:t>
      </w:r>
      <w:r>
        <w:rPr>
          <w:rFonts w:hint="eastAsia" w:ascii="仿宋_GB2312" w:hAnsi="CESI仿宋-GB2312" w:eastAsia="仿宋_GB2312" w:cs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组建专项工作专班，制定专项工作方案，5月22日至29日，深入各县区走访调研不同阶段科技企业，全面摸清阶级企业培育难点、创新发展堵点，广泛征集企业政策诉求；对标借鉴中部重点城市先进科创政策，结合我市产业基础，草拟了《若干措施》初稿。</w:t>
      </w:r>
    </w:p>
    <w:p w14:paraId="49CE5D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12" w:firstLineChars="200"/>
        <w:jc w:val="both"/>
        <w:textAlignment w:val="auto"/>
        <w:rPr>
          <w:rFonts w:ascii="仿宋_GB2312" w:hAnsi="CESI仿宋-GB2312" w:eastAsia="仿宋_GB2312" w:cs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ESI仿宋-GB2312" w:eastAsia="仿宋_GB2312" w:cs="CESI仿宋-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第二阶段：内部校核，完善初稿阶段（6月）。</w:t>
      </w:r>
      <w:r>
        <w:rPr>
          <w:rFonts w:hint="eastAsia" w:ascii="仿宋_GB2312" w:hAnsi="CESI仿宋-GB2312" w:eastAsia="仿宋_GB2312" w:cs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联动各县区梳理培育工作短板，逐条校核政策条款，对照省市政策标准、部门权责清单、财政奖补规范，优化资金支持标准、责任分工、工作举措，完成内部研讨修订，形成规范完整的政策初稿，经分层审核后形成征求意见稿。</w:t>
      </w:r>
    </w:p>
    <w:p w14:paraId="256B40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12" w:firstLineChars="200"/>
        <w:jc w:val="both"/>
        <w:textAlignment w:val="auto"/>
        <w:rPr>
          <w:rFonts w:ascii="仿宋_GB2312" w:hAnsi="CESI仿宋-GB2312" w:eastAsia="仿宋_GB2312" w:cs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ESI仿宋-GB2312" w:eastAsia="仿宋_GB2312" w:cs="CESI仿宋-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第三阶段：多方征求意见、优化文稿阶段（7月—8月）。</w:t>
      </w:r>
      <w:r>
        <w:rPr>
          <w:rFonts w:hint="eastAsia" w:ascii="仿宋_GB2312" w:hAnsi="CESI仿宋-GB2312" w:eastAsia="仿宋_GB2312" w:cs="CESI仿宋-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7月30日，通过</w:t>
      </w:r>
      <w:r>
        <w:rPr>
          <w:rFonts w:hint="eastAsia" w:ascii="仿宋_GB2312" w:hAnsi="CESI仿宋-GB2312" w:eastAsia="仿宋_GB2312" w:cs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赣政通向各有关市直单位和各县区开发区、通过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局网站向</w:t>
      </w:r>
      <w:r>
        <w:rPr>
          <w:rFonts w:hint="eastAsia" w:ascii="仿宋_GB2312" w:hAnsi="CESI仿宋-GB2312" w:eastAsia="仿宋_GB2312" w:cs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社会公众开展第一轮书面征求意见，共收到反馈意见5条，逐条研究吸纳反馈意见，优化政策奖补标准、责任分工和工作举措，完成多轮研讨校核，采纳4条，未采纳1条，形成再次征求意见稿。</w:t>
      </w:r>
    </w:p>
    <w:p w14:paraId="584460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12" w:firstLineChars="200"/>
        <w:jc w:val="both"/>
        <w:textAlignment w:val="auto"/>
        <w:rPr>
          <w:rFonts w:ascii="仿宋_GB2312" w:hAnsi="CESI仿宋-GB2312" w:eastAsia="仿宋_GB2312" w:cs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ESI仿宋-GB2312" w:eastAsia="仿宋_GB2312" w:cs="CESI仿宋-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第四阶段：组织召开专题座谈会，深化文稿研讨打磨。（9月）。</w:t>
      </w:r>
      <w:r>
        <w:rPr>
          <w:rFonts w:hint="eastAsia" w:ascii="仿宋_GB2312" w:hAnsi="CESI仿宋-GB2312" w:eastAsia="仿宋_GB2312" w:cs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9月8日组织召开专题座谈会，邀请市直相关部门、重点科技企业代表参会，围绕梯次培育体系、财政支持、要素保障、政策落地执行等重点内容开展交流研讨，充分听取各方意见建议，对政策条款进一步优化调整，补齐政策短板，提升政策针对性和实操性。</w:t>
      </w:r>
    </w:p>
    <w:p w14:paraId="5901A9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12" w:firstLineChars="200"/>
        <w:jc w:val="both"/>
        <w:textAlignment w:val="auto"/>
        <w:rPr>
          <w:rFonts w:hint="default" w:ascii="仿宋_GB2312" w:hAnsi="CESI仿宋-GB2312" w:eastAsia="仿宋_GB2312" w:cs="CESI仿宋-GB2312"/>
          <w:color w:val="000000" w:themeColor="text1"/>
          <w:sz w:val="32"/>
          <w:szCs w:val="32"/>
          <w:highlight w:val="yellow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ESI仿宋-GB2312" w:eastAsia="仿宋_GB2312" w:cs="CESI仿宋-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第五阶段：开展第二轮征求意见，完成审议稿报审（10月）</w:t>
      </w:r>
      <w:r>
        <w:rPr>
          <w:rFonts w:hint="eastAsia" w:ascii="仿宋_GB2312" w:hAnsi="CESI仿宋-GB2312" w:eastAsia="仿宋_GB2312" w:cs="CESI仿宋-GB2312"/>
          <w:b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CESI仿宋-GB2312" w:eastAsia="仿宋_GB2312" w:cs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综合座谈会意见修改完善后，9月14日通过赣政通向各市直单位、各县区开发区开展第二轮征求意见。共收到反馈意见3条，对收集的意见逐条梳理研判，采纳1条，未采纳2条。再次修改完善后形成了《若干措施》（审议稿）</w:t>
      </w:r>
      <w:r>
        <w:rPr>
          <w:rFonts w:hint="eastAsia" w:ascii="仿宋_GB2312" w:hAnsi="CESI仿宋-GB2312" w:eastAsia="仿宋_GB2312" w:cs="CESI仿宋-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根据工作要求，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征求了法律顾问意见，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对</w:t>
      </w:r>
      <w:r>
        <w:rPr>
          <w:rFonts w:hint="eastAsia" w:ascii="仿宋_GB2312" w:hAnsi="CESI仿宋-GB2312" w:eastAsia="仿宋_GB2312" w:cs="CESI仿宋-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《若干措施》（审议稿）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开展了公平竞争审查、合法性审查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收到法律意见反馈2条，采纳2条。</w:t>
      </w:r>
    </w:p>
    <w:p w14:paraId="30D5D515">
      <w:pPr>
        <w:pStyle w:val="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12" w:firstLineChars="200"/>
        <w:jc w:val="both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框架内容</w:t>
      </w:r>
    </w:p>
    <w:p w14:paraId="0D17B1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588" w:firstLineChars="200"/>
        <w:jc w:val="both"/>
        <w:textAlignment w:val="auto"/>
        <w:rPr>
          <w:rFonts w:ascii="仿宋_GB2312" w:hAnsi="CESI仿宋-GB2312" w:eastAsia="仿宋_GB2312" w:cs="CESI仿宋-GB2312"/>
          <w:color w:val="000000" w:themeColor="text1"/>
          <w:spacing w:val="-6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ESI仿宋-GB2312" w:eastAsia="仿宋_GB2312" w:cs="CESI仿宋-GB2312"/>
          <w:color w:val="000000" w:themeColor="text1"/>
          <w:spacing w:val="-6"/>
          <w:sz w:val="32"/>
          <w:szCs w:val="32"/>
          <w14:textFill>
            <w14:solidFill>
              <w14:schemeClr w14:val="tx1"/>
            </w14:solidFill>
          </w14:textFill>
        </w:rPr>
        <w:t>《若干措施》立足科技企业</w:t>
      </w:r>
      <w:r>
        <w:rPr>
          <w:rFonts w:hint="eastAsia" w:ascii="仿宋_GB2312" w:hAnsi="CESI仿宋-GB2312" w:eastAsia="仿宋_GB2312" w:cs="CESI仿宋-GB2312"/>
          <w:b/>
          <w:color w:val="000000" w:themeColor="text1"/>
          <w:spacing w:val="-6"/>
          <w:sz w:val="32"/>
          <w:szCs w:val="32"/>
          <w14:textFill>
            <w14:solidFill>
              <w14:schemeClr w14:val="tx1"/>
            </w14:solidFill>
          </w14:textFill>
        </w:rPr>
        <w:t>梯次培育、创新赋能、生态护航</w:t>
      </w:r>
      <w:r>
        <w:rPr>
          <w:rFonts w:hint="eastAsia" w:ascii="仿宋_GB2312" w:hAnsi="CESI仿宋-GB2312" w:eastAsia="仿宋_GB2312" w:cs="CESI仿宋-GB2312"/>
          <w:color w:val="000000" w:themeColor="text1"/>
          <w:spacing w:val="-6"/>
          <w:sz w:val="32"/>
          <w:szCs w:val="32"/>
          <w14:textFill>
            <w14:solidFill>
              <w14:schemeClr w14:val="tx1"/>
            </w14:solidFill>
          </w14:textFill>
        </w:rPr>
        <w:t>三大核心维度，构建“培育+创新+生态”三位一体政策体系，共</w:t>
      </w:r>
      <w:r>
        <w:rPr>
          <w:rFonts w:hint="eastAsia" w:ascii="仿宋_GB2312" w:hAnsi="CESI仿宋-GB2312" w:eastAsia="仿宋_GB2312" w:cs="CESI仿宋-GB2312"/>
          <w:color w:val="000000" w:themeColor="text1"/>
          <w:spacing w:val="-6"/>
          <w:sz w:val="32"/>
          <w:szCs w:val="32"/>
          <w:lang w:eastAsia="zh"/>
          <w14:textFill>
            <w14:solidFill>
              <w14:schemeClr w14:val="tx1"/>
            </w14:solidFill>
          </w14:textFill>
        </w:rPr>
        <w:t>三个部分</w:t>
      </w:r>
      <w:r>
        <w:rPr>
          <w:rFonts w:hint="eastAsia" w:ascii="仿宋_GB2312" w:hAnsi="CESI仿宋-GB2312" w:eastAsia="仿宋_GB2312" w:cs="CESI仿宋-GB2312"/>
          <w:color w:val="000000" w:themeColor="text1"/>
          <w:spacing w:val="-6"/>
          <w:sz w:val="32"/>
          <w:szCs w:val="32"/>
          <w14:textFill>
            <w14:solidFill>
              <w14:schemeClr w14:val="tx1"/>
            </w14:solidFill>
          </w14:textFill>
        </w:rPr>
        <w:t>、10条具体举措，全面覆盖企业全生命周期发展需求。</w:t>
      </w:r>
    </w:p>
    <w:p w14:paraId="45E230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12" w:firstLineChars="200"/>
        <w:jc w:val="both"/>
        <w:textAlignment w:val="auto"/>
        <w:rPr>
          <w:rFonts w:ascii="仿宋_GB2312" w:hAnsi="CESI仿宋-GB2312" w:eastAsia="仿宋_GB2312" w:cs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ESI仿宋-GB2312" w:eastAsia="仿宋_GB2312" w:cs="CESI仿宋-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第一部分：完善科技企业梯次培育体系。</w:t>
      </w:r>
      <w:r>
        <w:rPr>
          <w:rFonts w:hint="eastAsia" w:ascii="仿宋_GB2312" w:hAnsi="CESI仿宋-GB2312" w:eastAsia="仿宋_GB2312" w:cs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聚焦分层分级培育，筑牢科</w:t>
      </w:r>
      <w:r>
        <w:rPr>
          <w:rFonts w:hint="eastAsia" w:ascii="仿宋_GB2312" w:hAnsi="CESI仿宋-GB2312" w:eastAsia="仿宋_GB2312" w:cs="CESI仿宋-GB2312"/>
          <w:color w:val="000000" w:themeColor="text1"/>
          <w:sz w:val="32"/>
          <w:szCs w:val="32"/>
          <w:lang w:eastAsia="zh"/>
          <w14:textFill>
            <w14:solidFill>
              <w14:schemeClr w14:val="tx1"/>
            </w14:solidFill>
          </w14:textFill>
        </w:rPr>
        <w:t>技</w:t>
      </w:r>
      <w:r>
        <w:rPr>
          <w:rFonts w:hint="eastAsia" w:ascii="仿宋_GB2312" w:hAnsi="CESI仿宋-GB2312" w:eastAsia="仿宋_GB2312" w:cs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企业发展梯队。</w:t>
      </w:r>
      <w:r>
        <w:rPr>
          <w:rFonts w:hint="eastAsia" w:ascii="仿宋_GB2312" w:hAnsi="CESI仿宋-GB2312" w:eastAsia="仿宋_GB2312" w:cs="CESI仿宋-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一是</w:t>
      </w:r>
      <w:r>
        <w:rPr>
          <w:rFonts w:hint="eastAsia" w:ascii="仿宋_GB2312" w:hAnsi="CESI仿宋-GB2312" w:eastAsia="仿宋_GB2312" w:cs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扩容培优科技型中小企业，依托重点产业赛道，精准扶持优质中小科创企业，落实税费减免、审批绿色通道等惠企政策，夯实企业培育底盘；</w:t>
      </w:r>
      <w:r>
        <w:rPr>
          <w:rFonts w:hint="eastAsia" w:ascii="仿宋_GB2312" w:hAnsi="CESI仿宋-GB2312" w:eastAsia="仿宋_GB2312" w:cs="CESI仿宋-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二是</w:t>
      </w:r>
      <w:r>
        <w:rPr>
          <w:rFonts w:hint="eastAsia" w:ascii="仿宋_GB2312" w:hAnsi="CESI仿宋-GB2312" w:eastAsia="仿宋_GB2312" w:cs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提质增效发展高新技术企业，建立“储备、培育、申报、认定”全链条机制和动态后备库，常态化开展精准帮扶，推动存量高企提质、增量扩容；</w:t>
      </w:r>
      <w:r>
        <w:rPr>
          <w:rFonts w:hint="eastAsia" w:ascii="仿宋_GB2312" w:hAnsi="CESI仿宋-GB2312" w:eastAsia="仿宋_GB2312" w:cs="CESI仿宋-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三是</w:t>
      </w:r>
      <w:r>
        <w:rPr>
          <w:rFonts w:hint="eastAsia" w:ascii="仿宋_GB2312" w:hAnsi="CESI仿宋-GB2312" w:eastAsia="仿宋_GB2312" w:cs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做优做强高成长性及领军科技企业，培育链主、独角兽、瞪羚及科技领军企业，打造产业创新标杆集群。</w:t>
      </w:r>
    </w:p>
    <w:p w14:paraId="5EFA41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12" w:firstLineChars="200"/>
        <w:jc w:val="both"/>
        <w:textAlignment w:val="auto"/>
        <w:rPr>
          <w:rFonts w:ascii="仿宋_GB2312" w:hAnsi="CESI仿宋-GB2312" w:eastAsia="仿宋_GB2312" w:cs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ESI仿宋-GB2312" w:eastAsia="仿宋_GB2312" w:cs="CESI仿宋-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第二部分：提升企业创新核心能力。</w:t>
      </w:r>
      <w:r>
        <w:rPr>
          <w:rFonts w:hint="eastAsia" w:ascii="仿宋_GB2312" w:hAnsi="CESI仿宋-GB2312" w:eastAsia="仿宋_GB2312" w:cs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聚焦研发、攻关、人才三大创新要素，激活企业内生动力。</w:t>
      </w:r>
      <w:r>
        <w:rPr>
          <w:rFonts w:hint="eastAsia" w:ascii="仿宋_GB2312" w:hAnsi="CESI仿宋-GB2312" w:eastAsia="仿宋_GB2312" w:cs="CESI仿宋-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一是</w:t>
      </w:r>
      <w:r>
        <w:rPr>
          <w:rFonts w:hint="eastAsia" w:ascii="仿宋_GB2312" w:hAnsi="CESI仿宋-GB2312" w:eastAsia="仿宋_GB2312" w:cs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实行阶梯式研发投入奖补，对不同研发投入规模企业给予分级资金支持，撬动企业加大自主研发力度；</w:t>
      </w:r>
      <w:r>
        <w:rPr>
          <w:rFonts w:hint="eastAsia" w:ascii="仿宋_GB2312" w:hAnsi="CESI仿宋-GB2312" w:eastAsia="仿宋_GB2312" w:cs="CESI仿宋-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二是</w:t>
      </w:r>
      <w:r>
        <w:rPr>
          <w:rFonts w:hint="eastAsia" w:ascii="仿宋_GB2312" w:hAnsi="CESI仿宋-GB2312" w:eastAsia="仿宋_GB2312" w:cs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强化核心技术科研攻关，依托揭榜挂帅、省市重大专项、市级“1030攻坚行动”等平台，攻坚产业“卡脖子”技术，支持成果转化与企业技术改造、数字化转型；</w:t>
      </w:r>
      <w:r>
        <w:rPr>
          <w:rFonts w:hint="eastAsia" w:ascii="仿宋_GB2312" w:hAnsi="CESI仿宋-GB2312" w:eastAsia="仿宋_GB2312" w:cs="CESI仿宋-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三是</w:t>
      </w:r>
      <w:r>
        <w:rPr>
          <w:rFonts w:hint="eastAsia" w:ascii="仿宋_GB2312" w:hAnsi="CESI仿宋-GB2312" w:eastAsia="仿宋_GB2312" w:cs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强化高端人才引育，落实人才专项政策，下放人才举荐权、推行“科技副总”“一企业一博士”机制，以人才赋能企业创新发展。</w:t>
      </w:r>
    </w:p>
    <w:p w14:paraId="51E566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12" w:firstLineChars="200"/>
        <w:jc w:val="both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仿宋_GB2312" w:hAnsi="CESI仿宋-GB2312" w:eastAsia="仿宋_GB2312" w:cs="CESI仿宋-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第三部分：构建全链条创新发展生态。</w:t>
      </w:r>
      <w:r>
        <w:rPr>
          <w:rFonts w:hint="eastAsia" w:ascii="仿宋_GB2312" w:hAnsi="CESI仿宋-GB2312" w:eastAsia="仿宋_GB2312" w:cs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聚焦载体、园区、服务、金融四大支撑，优化科创发展环境。</w:t>
      </w:r>
      <w:r>
        <w:rPr>
          <w:rFonts w:hint="eastAsia" w:ascii="仿宋_GB2312" w:hAnsi="CESI仿宋-GB2312" w:eastAsia="仿宋_GB2312" w:cs="CESI仿宋-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一是</w:t>
      </w:r>
      <w:r>
        <w:rPr>
          <w:rFonts w:hint="eastAsia" w:ascii="仿宋_GB2312" w:hAnsi="CESI仿宋-GB2312" w:eastAsia="仿宋_GB2312" w:cs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提升孵化载体培育能力，建立孵化器绩效考核及补助机制，</w:t>
      </w:r>
      <w:r>
        <w:rPr>
          <w:rFonts w:hint="eastAsia" w:ascii="仿宋_GB2312" w:hAnsi="CESI仿宋-GB2312" w:eastAsia="仿宋_GB2312" w:cs="CESI仿宋-GB2312"/>
          <w:color w:val="000000" w:themeColor="text1"/>
          <w:sz w:val="32"/>
          <w:szCs w:val="32"/>
          <w:lang w:eastAsia="zh"/>
          <w14:textFill>
            <w14:solidFill>
              <w14:schemeClr w14:val="tx1"/>
            </w14:solidFill>
          </w14:textFill>
        </w:rPr>
        <w:t>重点支持</w:t>
      </w:r>
      <w:r>
        <w:rPr>
          <w:rFonts w:hint="eastAsia" w:ascii="仿宋_GB2312" w:hAnsi="CESI仿宋-GB2312" w:eastAsia="仿宋_GB2312" w:cs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初创企业孵化培育；</w:t>
      </w:r>
      <w:r>
        <w:rPr>
          <w:rFonts w:hint="eastAsia" w:ascii="仿宋_GB2312" w:hAnsi="CESI仿宋-GB2312" w:eastAsia="仿宋_GB2312" w:cs="CESI仿宋-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二是</w:t>
      </w:r>
      <w:r>
        <w:rPr>
          <w:rFonts w:hint="eastAsia" w:ascii="仿宋_GB2312" w:hAnsi="CESI仿宋-GB2312" w:eastAsia="仿宋_GB2312" w:cs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发挥产业园区集聚主阵地作用，依托重点园区布局公共创新平台，深化校地融合、产学研协同创新；</w:t>
      </w:r>
      <w:r>
        <w:rPr>
          <w:rFonts w:hint="eastAsia" w:ascii="仿宋_GB2312" w:hAnsi="CESI仿宋-GB2312" w:eastAsia="仿宋_GB2312" w:cs="CESI仿宋-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三是</w:t>
      </w:r>
      <w:r>
        <w:rPr>
          <w:rFonts w:hint="eastAsia" w:ascii="仿宋_GB2312" w:hAnsi="CESI仿宋-GB2312" w:eastAsia="仿宋_GB2312" w:cs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健全全生命周期科创服务体系，遴选优质服务机构，提供专业化、市场化科创服务；四是强化科技金融赋能，创新科创专属金融产品，设立百亿级科创子基金，深化省市基金联动，降低企业融资成本。</w:t>
      </w:r>
    </w:p>
    <w:p w14:paraId="6DB793F9">
      <w:pPr>
        <w:pStyle w:val="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12" w:firstLineChars="200"/>
        <w:jc w:val="both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主要特点</w:t>
      </w:r>
    </w:p>
    <w:p w14:paraId="6FCC97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12" w:firstLineChars="200"/>
        <w:jc w:val="both"/>
        <w:textAlignment w:val="auto"/>
        <w:rPr>
          <w:rFonts w:ascii="仿宋_GB2312" w:hAnsi="CESI仿宋-GB2312" w:eastAsia="仿宋_GB2312" w:cs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ESI仿宋-GB2312" w:eastAsia="仿宋_GB2312" w:cs="CESI仿宋-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一是培育体系更具层次性。</w:t>
      </w:r>
      <w:r>
        <w:rPr>
          <w:rFonts w:hint="eastAsia" w:ascii="仿宋_GB2312" w:hAnsi="CESI仿宋-GB2312" w:eastAsia="仿宋_GB2312" w:cs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创新构建“科技型中小企业—高新技术企业—高成长性企业—科技领军企业”四级梯次培育格局，实现初创、成长、壮大、引领全周期闭环培育，破解企业培育断层问题。</w:t>
      </w:r>
    </w:p>
    <w:p w14:paraId="116300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12" w:firstLineChars="200"/>
        <w:jc w:val="both"/>
        <w:textAlignment w:val="auto"/>
        <w:rPr>
          <w:rFonts w:ascii="仿宋_GB2312" w:hAnsi="CESI仿宋-GB2312" w:eastAsia="仿宋_GB2312" w:cs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ESI仿宋-GB2312" w:eastAsia="仿宋_GB2312" w:cs="CESI仿宋-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二是激励举措更具精准性。</w:t>
      </w:r>
      <w:r>
        <w:rPr>
          <w:rFonts w:hint="eastAsia" w:ascii="仿宋_GB2312" w:hAnsi="CESI仿宋-GB2312" w:eastAsia="仿宋_GB2312" w:cs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实行研发投入分级奖补、项目分类扶持，针对不同体量、不同阶段科技企业差异化施策，精准匹配企业创新需求，政策红利直达快享。</w:t>
      </w:r>
    </w:p>
    <w:p w14:paraId="152844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12" w:firstLineChars="200"/>
        <w:jc w:val="both"/>
        <w:textAlignment w:val="auto"/>
        <w:rPr>
          <w:rFonts w:ascii="仿宋_GB2312" w:hAnsi="CESI仿宋-GB2312" w:eastAsia="仿宋_GB2312" w:cs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ESI仿宋-GB2312" w:eastAsia="仿宋_GB2312" w:cs="CESI仿宋-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三是要素保障更具系统性。</w:t>
      </w:r>
      <w:r>
        <w:rPr>
          <w:rFonts w:hint="eastAsia" w:ascii="仿宋_GB2312" w:hAnsi="CESI仿宋-GB2312" w:eastAsia="仿宋_GB2312" w:cs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整合人才、技术、平台、金融、服务、园区等各类创新资源，打通政策落地、技术攻关、成果转化、融资赋能全链条，构建全方位科创支撑生态。</w:t>
      </w:r>
    </w:p>
    <w:p w14:paraId="340ECD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12" w:firstLineChars="200"/>
        <w:jc w:val="both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sectPr>
          <w:footerReference r:id="rId4" w:type="default"/>
          <w:footerReference r:id="rId5" w:type="even"/>
          <w:pgSz w:w="11906" w:h="16838"/>
          <w:pgMar w:top="2098" w:right="1474" w:bottom="1984" w:left="1588" w:header="709" w:footer="1077" w:gutter="0"/>
          <w:cols w:space="0" w:num="1"/>
          <w:docGrid w:type="linesAndChars" w:linePitch="303" w:charSpace="-2934"/>
        </w:sectPr>
      </w:pPr>
      <w:r>
        <w:rPr>
          <w:rFonts w:hint="eastAsia" w:ascii="仿宋_GB2312" w:hAnsi="CESI仿宋-GB2312" w:eastAsia="仿宋_GB2312" w:cs="CESI仿宋-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四是工作机制更具长效性。</w:t>
      </w:r>
      <w:r>
        <w:rPr>
          <w:rFonts w:hint="eastAsia" w:ascii="仿宋_GB2312" w:hAnsi="CESI仿宋-GB2312" w:eastAsia="仿宋_GB2312" w:cs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建立动态培育库、载体绩效考核、部门协同会商等长效机制，压实各方责任，推动科技企业培育工作常态化、规范化、制度化开展</w:t>
      </w:r>
      <w:r>
        <w:rPr>
          <w:rFonts w:hint="eastAsia" w:ascii="仿宋_GB2312" w:hAnsi="CESI仿宋-GB2312" w:eastAsia="仿宋_GB2312" w:cs="CESI仿宋-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0C6E6C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ectPr>
          <w:footerReference r:id="rId6" w:type="default"/>
          <w:footerReference r:id="rId7" w:type="even"/>
          <w:pgSz w:w="11906" w:h="16838"/>
          <w:pgMar w:top="2098" w:right="1474" w:bottom="1984" w:left="1588" w:header="709" w:footer="1077" w:gutter="0"/>
          <w:cols w:space="0" w:num="1"/>
          <w:docGrid w:type="linesAndChars" w:linePitch="303" w:charSpace="-2934"/>
        </w:sect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1D5F896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7685B16-E2A7-4385-8318-ABF7AB4B318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EAB4DA6-1ABC-491C-9ADD-5105F9C3F60D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05B52DA4-46E1-45A2-B313-CF996F379F1F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190AA472-6F84-49E9-B00B-54C963AE511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D8336C33-6F7E-4B62-92ED-5BD4500FF99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44CAA7E0-73B5-446C-95D0-8376683A9077}"/>
  </w:font>
  <w:font w:name="CESI仿宋-GB2312">
    <w:altName w:val="微软雅黑"/>
    <w:panose1 w:val="00000000000000000000"/>
    <w:charset w:val="86"/>
    <w:family w:val="auto"/>
    <w:pitch w:val="default"/>
    <w:sig w:usb0="00000000" w:usb1="00000000" w:usb2="00000010" w:usb3="00000000" w:csb0="0004000F" w:csb1="00000000"/>
    <w:embedRegular r:id="rId7" w:fontKey="{A409C73F-1933-4A05-AB5D-726E2D59A107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CBADB7">
    <w:pPr>
      <w:pStyle w:val="2"/>
      <w:ind w:right="460"/>
      <w:jc w:val="right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 xml:space="preserve">— 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-</w:t>
    </w:r>
    <w:r>
      <w:rPr>
        <w:rFonts w:ascii="宋体" w:hAnsi="宋体" w:eastAsia="宋体"/>
        <w:sz w:val="28"/>
        <w:szCs w:val="28"/>
      </w:rPr>
      <w:t xml:space="preserve"> 37 -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C8D4C5">
    <w:pPr>
      <w:pStyle w:val="2"/>
      <w:ind w:right="1580" w:firstLine="280" w:firstLineChars="100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 xml:space="preserve">— 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</w:rPr>
      <w:t>1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5DA2AD">
    <w:pPr>
      <w:pStyle w:val="2"/>
      <w:ind w:right="460"/>
      <w:jc w:val="right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 xml:space="preserve">— 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-</w:t>
    </w:r>
    <w:r>
      <w:rPr>
        <w:rFonts w:ascii="宋体" w:hAnsi="宋体" w:eastAsia="宋体"/>
        <w:sz w:val="28"/>
        <w:szCs w:val="28"/>
      </w:rPr>
      <w:t xml:space="preserve"> 37 -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 xml:space="preserve"> 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5F3578">
    <w:pPr>
      <w:pStyle w:val="2"/>
      <w:ind w:right="1580" w:firstLine="280" w:firstLineChars="100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 xml:space="preserve">— 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</w:rPr>
      <w:t>1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486169A"/>
    <w:multiLevelType w:val="singleLevel"/>
    <w:tmpl w:val="7486169A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7A52D7"/>
    <w:rsid w:val="04161C4E"/>
    <w:rsid w:val="072357CC"/>
    <w:rsid w:val="3C0E7C78"/>
    <w:rsid w:val="677A5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No Spacing"/>
    <w:qFormat/>
    <w:uiPriority w:val="1"/>
    <w:pPr>
      <w:adjustRightInd w:val="0"/>
      <w:snapToGrid w:val="0"/>
    </w:pPr>
    <w:rPr>
      <w:rFonts w:ascii="Tahoma" w:hAnsi="Tahoma" w:eastAsia="微软雅黑" w:cs="Times New Roman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2615</Words>
  <Characters>2641</Characters>
  <Lines>0</Lines>
  <Paragraphs>0</Paragraphs>
  <TotalTime>0</TotalTime>
  <ScaleCrop>false</ScaleCrop>
  <LinksUpToDate>false</LinksUpToDate>
  <CharactersWithSpaces>2641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2026-10-16T07:04:00Z</dcterms:created>
  <dc:creator>＇　ZJ</dc:creator>
  <cp:lastModifiedBy>LDC</cp:lastModifiedBy>
  <dcterms:modified xsi:type="dcterms:W3CDTF">2026-10-21T02:29:54Z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A506EE57BD4B47A99176CC55002457C8_11</vt:lpwstr>
  </property>
  <property fmtid="{D5CDD505-2E9C-101B-9397-08002B2CF9AE}" pid="4" name="KSOTemplateDocerSaveRecord">
    <vt:lpwstr>eyJoZGlkIjoiNDkwZGI0MzMwY2RhNjZkNjA4YzFiZTFkMTYyZjg4OWYiLCJ1c2VySWQiOiIyODMzNDU3NjYifQ==</vt:lpwstr>
  </property>
</Properties>
</file>